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6A" w:rsidRDefault="00E87080" w:rsidP="00A456A1">
      <w:pPr>
        <w:jc w:val="righ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6501765</wp:posOffset>
                </wp:positionH>
                <wp:positionV relativeFrom="paragraph">
                  <wp:posOffset>3810</wp:posOffset>
                </wp:positionV>
                <wp:extent cx="2609850" cy="603250"/>
                <wp:effectExtent l="0" t="0" r="0" b="63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1392" w:rsidRDefault="00E87080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0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Dariusz Piontkowski</w:t>
                            </w:r>
                            <w:bookmarkEnd w:id="0"/>
                          </w:p>
                          <w:p w:rsidR="00E81392" w:rsidRPr="00990AEB" w:rsidRDefault="00E87080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1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Minister Edukacji Narodowej</w:t>
                            </w:r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11.95pt;margin-top:.3pt;width:205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" filled="f" stroked="f">
                <v:textbox>
                  <w:txbxContent>
                    <w:p w:rsidR="00E81392" w:rsidRDefault="00E87080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2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Dariusz Piontkowski</w:t>
                      </w:r>
                      <w:bookmarkEnd w:id="2"/>
                    </w:p>
                    <w:p w:rsidR="00E81392" w:rsidRPr="00990AEB" w:rsidRDefault="00E87080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3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Minister Edukacji Narodowej</w:t>
                      </w:r>
                      <w:bookmarkEnd w:id="3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F6A" w:rsidRDefault="00E87080" w:rsidP="00A456A1">
      <w:pPr>
        <w:jc w:val="right"/>
      </w:pPr>
    </w:p>
    <w:p w:rsidR="00631F6A" w:rsidRDefault="00E87080" w:rsidP="00A456A1">
      <w:pPr>
        <w:jc w:val="right"/>
      </w:pPr>
    </w:p>
    <w:p w:rsidR="00631F6A" w:rsidRDefault="00E87080" w:rsidP="00A456A1">
      <w:pPr>
        <w:jc w:val="right"/>
      </w:pPr>
    </w:p>
    <w:p w:rsidR="00A456A1" w:rsidRDefault="00E87080" w:rsidP="00A456A1">
      <w:pPr>
        <w:jc w:val="right"/>
      </w:pPr>
      <w:r>
        <w:t xml:space="preserve">Warszawa,  </w:t>
      </w:r>
      <w:bookmarkStart w:id="4" w:name="ezdDataPodpisu"/>
      <w:r>
        <w:t>18 lipca 2019</w:t>
      </w:r>
      <w:bookmarkEnd w:id="4"/>
      <w:r>
        <w:t xml:space="preserve"> r.</w:t>
      </w:r>
    </w:p>
    <w:p w:rsidR="0070707C" w:rsidRDefault="00E87080" w:rsidP="0070707C">
      <w:pPr>
        <w:pStyle w:val="menfont"/>
      </w:pPr>
      <w:bookmarkStart w:id="5" w:name="ezdSprawaZnak"/>
      <w:r>
        <w:t>BO-WP.035.1.1.2016</w:t>
      </w:r>
      <w:bookmarkEnd w:id="5"/>
      <w:r>
        <w:t>.</w:t>
      </w:r>
      <w:bookmarkStart w:id="6" w:name="ezdAutorInicjaly"/>
      <w:r>
        <w:t>AD</w:t>
      </w:r>
      <w:bookmarkEnd w:id="6"/>
    </w:p>
    <w:p w:rsidR="0070707C" w:rsidRDefault="00E87080" w:rsidP="0070707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</w:t>
      </w:r>
    </w:p>
    <w:p w:rsidR="0070707C" w:rsidRDefault="00E87080" w:rsidP="0070707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prac legislacyjn</w:t>
      </w:r>
      <w:bookmarkStart w:id="7" w:name="_GoBack"/>
      <w:bookmarkEnd w:id="7"/>
      <w:r>
        <w:rPr>
          <w:rFonts w:ascii="Arial Narrow" w:hAnsi="Arial Narrow"/>
          <w:b/>
        </w:rPr>
        <w:t>ych Ministra Edukacji Narodowej</w:t>
      </w:r>
    </w:p>
    <w:p w:rsidR="0070707C" w:rsidRDefault="00E87080" w:rsidP="0070707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– aktualizacja (47)</w:t>
      </w:r>
    </w:p>
    <w:tbl>
      <w:tblPr>
        <w:tblW w:w="15843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1"/>
        <w:gridCol w:w="1745"/>
      </w:tblGrid>
      <w:tr w:rsidR="006F4FD6" w:rsidTr="002512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P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707C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P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707C">
              <w:rPr>
                <w:rFonts w:ascii="Arial Narrow" w:hAnsi="Arial Narrow"/>
                <w:sz w:val="20"/>
                <w:szCs w:val="20"/>
              </w:rPr>
              <w:t>planowana nazwa</w:t>
            </w:r>
          </w:p>
          <w:p w:rsidR="0070707C" w:rsidRP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707C"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P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707C">
              <w:rPr>
                <w:rFonts w:ascii="Arial Narrow" w:hAnsi="Arial Narrow"/>
                <w:sz w:val="20"/>
                <w:szCs w:val="20"/>
              </w:rPr>
              <w:t xml:space="preserve">zwięzła informacja o przyczynach i potrzebie wprowadzenia rozwiązań, które planuje się zawrzeć </w:t>
            </w:r>
            <w:r w:rsidRPr="0070707C">
              <w:rPr>
                <w:rFonts w:ascii="Arial Narrow" w:hAnsi="Arial Narrow"/>
                <w:sz w:val="20"/>
                <w:szCs w:val="20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P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707C">
              <w:rPr>
                <w:rFonts w:ascii="Arial Narrow" w:hAnsi="Arial Narrow"/>
                <w:sz w:val="20"/>
                <w:szCs w:val="20"/>
              </w:rPr>
              <w:t>istota planowanych rozwiązań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planowany</w:t>
            </w:r>
          </w:p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</w:t>
            </w:r>
          </w:p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wydania</w:t>
            </w:r>
          </w:p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</w:t>
            </w:r>
          </w:p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prawnego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imię i nazwisko </w:t>
            </w:r>
          </w:p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oraz stanowisko</w:t>
            </w:r>
          </w:p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osoby</w:t>
            </w:r>
          </w:p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odpowiedzialnej</w:t>
            </w:r>
          </w:p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 opracowanie </w:t>
            </w:r>
          </w:p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70707C" w:rsidRDefault="00E87080" w:rsidP="002512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</w:tr>
      <w:tr w:rsidR="006F4FD6" w:rsidTr="002512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Pr="0070707C" w:rsidRDefault="00E87080" w:rsidP="002512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07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Pr="0070707C" w:rsidRDefault="00E87080" w:rsidP="00251208">
            <w:pPr>
              <w:ind w:left="170" w:hanging="17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07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Pr="0070707C" w:rsidRDefault="00E87080" w:rsidP="002512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07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Pr="0070707C" w:rsidRDefault="00E87080" w:rsidP="00251208">
            <w:pPr>
              <w:ind w:left="113" w:hanging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07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Default="00E87080" w:rsidP="002512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7C" w:rsidRDefault="00E87080" w:rsidP="002512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F4FD6" w:rsidTr="002054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6A" w:rsidRPr="0070707C" w:rsidRDefault="00E87080" w:rsidP="00631F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0707C">
              <w:rPr>
                <w:rFonts w:ascii="Arial Narrow" w:hAnsi="Arial Narrow"/>
                <w:sz w:val="20"/>
                <w:szCs w:val="20"/>
              </w:rPr>
              <w:t>98.</w:t>
            </w:r>
          </w:p>
        </w:tc>
        <w:tc>
          <w:tcPr>
            <w:tcW w:w="3119" w:type="dxa"/>
            <w:shd w:val="clear" w:color="auto" w:fill="auto"/>
            <w:hideMark/>
          </w:tcPr>
          <w:p w:rsidR="00631F6A" w:rsidRPr="009227C6" w:rsidRDefault="00E87080" w:rsidP="00631F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51B7">
              <w:rPr>
                <w:rFonts w:ascii="Arial Narrow" w:hAnsi="Arial Narrow"/>
                <w:sz w:val="20"/>
                <w:szCs w:val="20"/>
              </w:rPr>
              <w:t>Rozporządzenie Ministra Edukacji Narodowej w sprawie warunków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7251B7">
              <w:rPr>
                <w:rFonts w:ascii="Arial Narrow" w:hAnsi="Arial Narrow"/>
                <w:sz w:val="20"/>
                <w:szCs w:val="20"/>
              </w:rPr>
              <w:t>i trybu przeprowadzania egzaminów eksternistycznych.</w:t>
            </w:r>
          </w:p>
        </w:tc>
        <w:tc>
          <w:tcPr>
            <w:tcW w:w="12094" w:type="dxa"/>
            <w:gridSpan w:val="4"/>
            <w:shd w:val="clear" w:color="auto" w:fill="auto"/>
            <w:hideMark/>
          </w:tcPr>
          <w:p w:rsidR="00631F6A" w:rsidRPr="00F3479D" w:rsidRDefault="00E87080" w:rsidP="00631F6A">
            <w:pPr>
              <w:shd w:val="clear" w:color="auto" w:fill="FFFFFF" w:themeFill="background1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3479D">
              <w:rPr>
                <w:rFonts w:ascii="Arial Narrow" w:hAnsi="Arial Narrow"/>
                <w:b/>
                <w:sz w:val="20"/>
                <w:szCs w:val="20"/>
              </w:rPr>
              <w:t>Rezygnacja z wydania.</w:t>
            </w:r>
          </w:p>
          <w:p w:rsidR="00631F6A" w:rsidRPr="004521E1" w:rsidRDefault="00E87080" w:rsidP="00631F6A">
            <w:pPr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F3479D">
              <w:rPr>
                <w:rFonts w:ascii="Arial Narrow" w:hAnsi="Arial Narrow"/>
                <w:sz w:val="20"/>
                <w:szCs w:val="20"/>
              </w:rPr>
              <w:t xml:space="preserve">Ze względu na </w:t>
            </w:r>
            <w:r>
              <w:rPr>
                <w:rFonts w:ascii="Arial Narrow" w:hAnsi="Arial Narrow"/>
                <w:sz w:val="20"/>
                <w:szCs w:val="20"/>
              </w:rPr>
              <w:t xml:space="preserve">fakt, że planowane rozwiązania zostaną uwzględnione w nowym rozporządzeniu </w:t>
            </w:r>
            <w:r w:rsidRPr="009227C6">
              <w:rPr>
                <w:rFonts w:ascii="Arial Narrow" w:hAnsi="Arial Narrow"/>
                <w:sz w:val="20"/>
                <w:szCs w:val="20"/>
              </w:rPr>
              <w:t>Ministra Edukacji Narodowej w sprawie egzaminów eksternistycznych</w:t>
            </w:r>
            <w:r>
              <w:rPr>
                <w:rFonts w:ascii="Arial Narrow" w:hAnsi="Arial Narrow"/>
                <w:sz w:val="20"/>
                <w:szCs w:val="20"/>
              </w:rPr>
              <w:t xml:space="preserve"> (lp. 227), </w:t>
            </w:r>
            <w:r w:rsidRPr="00F3479D">
              <w:rPr>
                <w:rFonts w:ascii="Arial Narrow" w:hAnsi="Arial Narrow"/>
                <w:sz w:val="20"/>
                <w:szCs w:val="20"/>
              </w:rPr>
              <w:t>zrezygnowano z wydania tego rozporządzenia.</w:t>
            </w:r>
          </w:p>
        </w:tc>
      </w:tr>
      <w:tr w:rsidR="006F4FD6" w:rsidTr="00F32C2A">
        <w:tc>
          <w:tcPr>
            <w:tcW w:w="630" w:type="dxa"/>
            <w:shd w:val="clear" w:color="auto" w:fill="auto"/>
          </w:tcPr>
          <w:p w:rsidR="00631F6A" w:rsidRPr="0070707C" w:rsidRDefault="00E87080" w:rsidP="00631F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0707C">
              <w:rPr>
                <w:rFonts w:ascii="Arial Narrow" w:hAnsi="Arial Narrow"/>
                <w:sz w:val="20"/>
                <w:szCs w:val="20"/>
              </w:rPr>
              <w:t>102.</w:t>
            </w:r>
          </w:p>
        </w:tc>
        <w:tc>
          <w:tcPr>
            <w:tcW w:w="3119" w:type="dxa"/>
            <w:shd w:val="clear" w:color="auto" w:fill="auto"/>
          </w:tcPr>
          <w:p w:rsidR="00631F6A" w:rsidRPr="007251B7" w:rsidRDefault="00E87080" w:rsidP="00631F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B7D06">
              <w:rPr>
                <w:rFonts w:ascii="Arial Narrow" w:hAnsi="Arial Narrow"/>
                <w:sz w:val="20"/>
                <w:szCs w:val="20"/>
              </w:rPr>
              <w:t xml:space="preserve">Rozporządzenie Ministra Edukacji Narodowej w sprawie </w:t>
            </w:r>
            <w:r w:rsidRPr="00DB7D06">
              <w:rPr>
                <w:rFonts w:ascii="Arial Narrow" w:hAnsi="Arial Narrow"/>
                <w:sz w:val="20"/>
                <w:szCs w:val="20"/>
              </w:rPr>
              <w:t>akredytacji placówek i ośrodków prowadzących kształcenie ustawiczne w formach pozaszkolnych.</w:t>
            </w:r>
          </w:p>
        </w:tc>
        <w:tc>
          <w:tcPr>
            <w:tcW w:w="12094" w:type="dxa"/>
            <w:gridSpan w:val="4"/>
            <w:shd w:val="clear" w:color="auto" w:fill="auto"/>
          </w:tcPr>
          <w:p w:rsidR="00631F6A" w:rsidRPr="00C26C4B" w:rsidRDefault="00E87080" w:rsidP="00631F6A">
            <w:pPr>
              <w:shd w:val="clear" w:color="auto" w:fill="FFFFFF" w:themeFill="background1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C26C4B">
              <w:rPr>
                <w:rFonts w:ascii="Arial Narrow" w:hAnsi="Arial Narrow"/>
                <w:b/>
                <w:sz w:val="20"/>
                <w:szCs w:val="20"/>
              </w:rPr>
              <w:t>Rezygnacja z wydania.</w:t>
            </w:r>
          </w:p>
          <w:p w:rsidR="00631F6A" w:rsidRPr="004521E1" w:rsidRDefault="00E87080" w:rsidP="00631F6A">
            <w:pPr>
              <w:shd w:val="clear" w:color="auto" w:fill="FFFFFF" w:themeFill="background1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26C4B">
              <w:rPr>
                <w:rFonts w:ascii="Arial Narrow" w:hAnsi="Arial Narrow"/>
                <w:sz w:val="20"/>
                <w:szCs w:val="20"/>
              </w:rPr>
              <w:t xml:space="preserve">Ze względu na fakt, że planowane rozwiązania zostaną uwzględnione w nowym rozporządzeniu Ministra Edukacji Narodowej </w:t>
            </w:r>
            <w:r w:rsidRPr="00254BC3">
              <w:rPr>
                <w:rFonts w:ascii="Arial Narrow" w:hAnsi="Arial Narrow"/>
                <w:sz w:val="20"/>
                <w:szCs w:val="20"/>
              </w:rPr>
              <w:t>w sprawie akredytacji ks</w:t>
            </w:r>
            <w:r w:rsidRPr="00254BC3">
              <w:rPr>
                <w:rFonts w:ascii="Arial Narrow" w:hAnsi="Arial Narrow"/>
                <w:sz w:val="20"/>
                <w:szCs w:val="20"/>
              </w:rPr>
              <w:t>ztałcenia ustaw</w:t>
            </w:r>
            <w:r>
              <w:rPr>
                <w:rFonts w:ascii="Arial Narrow" w:hAnsi="Arial Narrow"/>
                <w:sz w:val="20"/>
                <w:szCs w:val="20"/>
              </w:rPr>
              <w:t>icznego w formach pozaszkolnych</w:t>
            </w:r>
            <w:r w:rsidRPr="00C26C4B">
              <w:rPr>
                <w:rFonts w:ascii="Arial Narrow" w:hAnsi="Arial Narrow"/>
                <w:sz w:val="20"/>
                <w:szCs w:val="20"/>
              </w:rPr>
              <w:t xml:space="preserve"> (lp. 22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C26C4B">
              <w:rPr>
                <w:rFonts w:ascii="Arial Narrow" w:hAnsi="Arial Narrow"/>
                <w:sz w:val="20"/>
                <w:szCs w:val="20"/>
              </w:rPr>
              <w:t>), zrezygnowano z wydania tego rozporządzenia.</w:t>
            </w:r>
          </w:p>
        </w:tc>
      </w:tr>
      <w:tr w:rsidR="006F4FD6" w:rsidTr="00B55077">
        <w:tc>
          <w:tcPr>
            <w:tcW w:w="630" w:type="dxa"/>
            <w:shd w:val="clear" w:color="auto" w:fill="auto"/>
          </w:tcPr>
          <w:p w:rsidR="005C2091" w:rsidRPr="0070707C" w:rsidRDefault="00E87080" w:rsidP="0025120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0707C">
              <w:rPr>
                <w:rFonts w:ascii="Arial Narrow" w:hAnsi="Arial Narrow"/>
                <w:sz w:val="20"/>
                <w:szCs w:val="20"/>
              </w:rPr>
              <w:t>145.</w:t>
            </w:r>
          </w:p>
        </w:tc>
        <w:tc>
          <w:tcPr>
            <w:tcW w:w="3119" w:type="dxa"/>
            <w:shd w:val="clear" w:color="auto" w:fill="auto"/>
          </w:tcPr>
          <w:p w:rsidR="005C2091" w:rsidRPr="0070707C" w:rsidRDefault="00E87080" w:rsidP="00251208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0707C">
              <w:rPr>
                <w:rFonts w:ascii="Arial Narrow" w:hAnsi="Arial Narrow"/>
                <w:sz w:val="20"/>
                <w:szCs w:val="20"/>
              </w:rPr>
              <w:t xml:space="preserve">Rozporządzenie Ministra Edukacji Narodowej w sprawie bezpieczeństwa </w:t>
            </w:r>
            <w:r w:rsidRPr="0070707C">
              <w:rPr>
                <w:rFonts w:ascii="Arial Narrow" w:hAnsi="Arial Narrow"/>
                <w:sz w:val="20"/>
                <w:szCs w:val="20"/>
              </w:rPr>
              <w:br/>
              <w:t>i higieny w publicznych i niepublicznych szkołach i placówkach.</w:t>
            </w:r>
          </w:p>
        </w:tc>
        <w:tc>
          <w:tcPr>
            <w:tcW w:w="12094" w:type="dxa"/>
            <w:gridSpan w:val="4"/>
            <w:shd w:val="clear" w:color="auto" w:fill="auto"/>
          </w:tcPr>
          <w:p w:rsidR="005C2091" w:rsidRPr="00C26C4B" w:rsidRDefault="00E87080" w:rsidP="005C2091">
            <w:pPr>
              <w:shd w:val="clear" w:color="auto" w:fill="FFFFFF" w:themeFill="background1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C26C4B">
              <w:rPr>
                <w:rFonts w:ascii="Arial Narrow" w:hAnsi="Arial Narrow"/>
                <w:b/>
                <w:sz w:val="20"/>
                <w:szCs w:val="20"/>
              </w:rPr>
              <w:t xml:space="preserve">Rezygnacja z </w:t>
            </w:r>
            <w:r w:rsidRPr="00C26C4B">
              <w:rPr>
                <w:rFonts w:ascii="Arial Narrow" w:hAnsi="Arial Narrow"/>
                <w:b/>
                <w:sz w:val="20"/>
                <w:szCs w:val="20"/>
              </w:rPr>
              <w:t>wydania.</w:t>
            </w:r>
          </w:p>
          <w:p w:rsidR="005C2091" w:rsidRPr="005C2091" w:rsidRDefault="00E87080" w:rsidP="005C2091">
            <w:pPr>
              <w:shd w:val="clear" w:color="auto" w:fill="FFFFFF" w:themeFill="background1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5C2091">
              <w:rPr>
                <w:rFonts w:ascii="Arial Narrow" w:hAnsi="Arial Narrow"/>
                <w:sz w:val="20"/>
                <w:szCs w:val="20"/>
              </w:rPr>
              <w:t xml:space="preserve">W 2018 r. znowelizowano rozporządzenie Ministra Edukacji Narodowej i Sportu w sprawie bezpieczeństwa i higieny w publicznych i niepublicznych szkołach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C2091">
              <w:rPr>
                <w:rFonts w:ascii="Arial Narrow" w:hAnsi="Arial Narrow"/>
                <w:sz w:val="20"/>
                <w:szCs w:val="20"/>
              </w:rPr>
              <w:t>i placówkach, wprowadzając najpilniejsze konieczne rozwiązania prawne, istotne dla bezpieczeńst</w:t>
            </w:r>
            <w:r w:rsidRPr="005C2091">
              <w:rPr>
                <w:rFonts w:ascii="Arial Narrow" w:hAnsi="Arial Narrow"/>
                <w:sz w:val="20"/>
                <w:szCs w:val="20"/>
              </w:rPr>
              <w:t xml:space="preserve">wa i higieny pracy i nauki. Nowe regulacje zostały zawarte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C2091">
              <w:rPr>
                <w:rFonts w:ascii="Arial Narrow" w:hAnsi="Arial Narrow"/>
                <w:sz w:val="20"/>
                <w:szCs w:val="20"/>
              </w:rPr>
              <w:t>w rozporządzeniu wydanym na podstawie upoważnienia zawartego art. 95a ustawy z dnia 7 września 1991 r. o systemie oświaty. Zostało ono utrzymane w mocy przez art. 365 ustawy z dnia 14 grudnia 2016</w:t>
            </w:r>
            <w:r w:rsidRPr="005C2091">
              <w:rPr>
                <w:rFonts w:ascii="Arial Narrow" w:hAnsi="Arial Narrow"/>
                <w:sz w:val="20"/>
                <w:szCs w:val="20"/>
              </w:rPr>
              <w:t xml:space="preserve"> r. – Przepisy wprowadzające ustawę – Prawo oświatowe (Dz. U. z 2017 r. poz. 60, z późn. zm.). Obecnie brak jest uzasadnienia do kolejnej jego zmiany. Ponadto, ewentualna kompleksowa zmiana powinna być poprzedzona zmianą upoważnienia ustawowego, które wg R</w:t>
            </w:r>
            <w:r w:rsidRPr="005C2091">
              <w:rPr>
                <w:rFonts w:ascii="Arial Narrow" w:hAnsi="Arial Narrow"/>
                <w:sz w:val="20"/>
                <w:szCs w:val="20"/>
              </w:rPr>
              <w:t>CL jest blankietowe.</w:t>
            </w:r>
          </w:p>
        </w:tc>
      </w:tr>
      <w:tr w:rsidR="006F4FD6" w:rsidTr="00C260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D" w:rsidRPr="0070707C" w:rsidRDefault="00E87080" w:rsidP="00251208">
            <w:pPr>
              <w:shd w:val="clear" w:color="auto" w:fill="FFFFFF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0707C">
              <w:rPr>
                <w:rFonts w:ascii="Arial Narrow" w:hAnsi="Arial Narrow"/>
                <w:sz w:val="18"/>
                <w:szCs w:val="18"/>
              </w:rPr>
              <w:lastRenderedPageBreak/>
              <w:t>173.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D" w:rsidRPr="0070707C" w:rsidRDefault="00E87080" w:rsidP="00251208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0707C">
              <w:rPr>
                <w:rFonts w:ascii="Arial Narrow" w:hAnsi="Arial Narrow"/>
                <w:sz w:val="20"/>
                <w:szCs w:val="20"/>
              </w:rPr>
              <w:t>Rozporządzenie Ministra Edukacji Narodowej w sprawie organizacji kształcenia dzieci obywateli polskich czasowo przebywających za granicą.</w:t>
            </w:r>
          </w:p>
        </w:tc>
        <w:tc>
          <w:tcPr>
            <w:tcW w:w="1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D" w:rsidRPr="00F3479D" w:rsidRDefault="00E87080" w:rsidP="00A7733D">
            <w:pPr>
              <w:shd w:val="clear" w:color="auto" w:fill="FFFFFF" w:themeFill="background1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3479D">
              <w:rPr>
                <w:rFonts w:ascii="Arial Narrow" w:hAnsi="Arial Narrow"/>
                <w:b/>
                <w:sz w:val="20"/>
                <w:szCs w:val="20"/>
              </w:rPr>
              <w:t>Rezygnacja z wydania.</w:t>
            </w:r>
          </w:p>
          <w:p w:rsidR="00A7733D" w:rsidRDefault="00E87080" w:rsidP="00A7733D">
            <w:pPr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F3479D">
              <w:rPr>
                <w:rFonts w:ascii="Arial Narrow" w:hAnsi="Arial Narrow"/>
                <w:sz w:val="20"/>
                <w:szCs w:val="20"/>
              </w:rPr>
              <w:t xml:space="preserve">Ze względu na </w:t>
            </w:r>
            <w:r>
              <w:rPr>
                <w:rFonts w:ascii="Arial Narrow" w:hAnsi="Arial Narrow"/>
                <w:sz w:val="20"/>
                <w:szCs w:val="20"/>
              </w:rPr>
              <w:t xml:space="preserve">fakt, że planowane rozwiązania zostały uwzględnione w projektowanym rozporządzeniu </w:t>
            </w:r>
            <w:r w:rsidRPr="009227C6">
              <w:rPr>
                <w:rFonts w:ascii="Arial Narrow" w:hAnsi="Arial Narrow"/>
                <w:sz w:val="20"/>
                <w:szCs w:val="20"/>
              </w:rPr>
              <w:t xml:space="preserve">Ministra Edukacji Narodowej w sprawie </w:t>
            </w:r>
            <w:r w:rsidRPr="00326008">
              <w:rPr>
                <w:rFonts w:ascii="Arial Narrow" w:hAnsi="Arial Narrow"/>
                <w:sz w:val="20"/>
                <w:szCs w:val="20"/>
              </w:rPr>
              <w:t>organizacji kształcenia dzieci obywateli polskich czasowo przebywających za granicą</w:t>
            </w:r>
            <w:r>
              <w:rPr>
                <w:rFonts w:ascii="Arial Narrow" w:hAnsi="Arial Narrow"/>
                <w:sz w:val="20"/>
                <w:szCs w:val="20"/>
              </w:rPr>
              <w:t xml:space="preserve"> (lp. 222), </w:t>
            </w:r>
            <w:r w:rsidRPr="00F3479D">
              <w:rPr>
                <w:rFonts w:ascii="Arial Narrow" w:hAnsi="Arial Narrow"/>
                <w:sz w:val="20"/>
                <w:szCs w:val="20"/>
              </w:rPr>
              <w:t>zrezygnowano z wydania tego rozporządzen</w:t>
            </w:r>
            <w:r w:rsidRPr="00F3479D">
              <w:rPr>
                <w:rFonts w:ascii="Arial Narrow" w:hAnsi="Arial Narrow"/>
                <w:sz w:val="20"/>
                <w:szCs w:val="20"/>
              </w:rPr>
              <w:t>ia.</w:t>
            </w:r>
          </w:p>
          <w:p w:rsidR="00A7733D" w:rsidRPr="00BC64DD" w:rsidRDefault="00E87080" w:rsidP="0025120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4FD6" w:rsidTr="002512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C" w:rsidRPr="0070707C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>247.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C" w:rsidRPr="0070707C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 xml:space="preserve">Rozporządzenie Ministra Edukacji Narodowej zmieniające rozporządzenie w sprawie organizacji kształcenia oraz warunków i form realizowania specjalnych działań opiekuńczo-wychowawczych w przedszkolach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 xml:space="preserve">i szkołach specjalnych, zorganizowanych w </w:t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>podmiotach leczniczych i jednostkach pomocy społecznej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</w:t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</w:p>
          <w:p w:rsidR="0070707C" w:rsidRPr="0070707C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C" w:rsidRPr="0070707C" w:rsidRDefault="00E87080" w:rsidP="00251208">
            <w:pPr>
              <w:spacing w:before="60" w:after="60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 xml:space="preserve">Nowelizacja rozporządzenia Ministra Edukacji Narodowej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>z dnia 8 marca 2013 r. w sprawie organizacji kształcenia oraz warunków i form realizowania specjalnych działań opiekuńczo-wychowawczych w prze</w:t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 xml:space="preserve">dszkolach i szkołach specjalnych, zorganizowanych w podmiotach leczniczych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 xml:space="preserve">i jednostkach pomocy społecznej (Dz. U. poz. 380), które pozostaje w mocy na podstawie art. 363 ustawy z dnia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 xml:space="preserve">14 grudnia 2016 r. – Przepisy wprowadzające ustawę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>– Prawo oświatowe</w:t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 xml:space="preserve"> (Dz. U. z 2017 r. poz. 60, z późn. zm.), wynika z konieczności </w:t>
            </w:r>
            <w:proofErr w:type="spellStart"/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>uspójnienia</w:t>
            </w:r>
            <w:proofErr w:type="spellEnd"/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 xml:space="preserve"> z przepisami wydanymi na podstawie </w:t>
            </w:r>
            <w:r w:rsidRPr="0070707C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art. 128 ust. 3 ustawy z dnia 14 grudnia </w:t>
            </w: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br/>
            </w:r>
            <w:r w:rsidRPr="0070707C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2016 r. – Prawo oświatowe (Dz. U. z 2019 r. poz. 1148 </w:t>
            </w: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br/>
            </w:r>
            <w:r w:rsidRPr="0070707C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i 1078).</w:t>
            </w:r>
          </w:p>
          <w:p w:rsidR="0070707C" w:rsidRPr="0070707C" w:rsidRDefault="00E87080" w:rsidP="00251208">
            <w:pPr>
              <w:spacing w:before="60" w:after="60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C" w:rsidRPr="0070707C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 xml:space="preserve">Zmiana rozporządzenia jest </w:t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>konsekwencją zmian wprowadzanych w rozporządzeniu wydanym na podstawie art. 128 ust. 3 ustawy z dnia 14 grudnia 2016 r. – Prawo oświatowe w zakresie umożliwienia uczniom szkoły ponadgimnazjalnej prowadzącej kształcenie zawodowe realizacji w szkole zorganiz</w:t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>owanej w podmiocie leczniczym programów nauczania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,</w:t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 xml:space="preserve"> uwzględniającego podstawę programową kształcenia ogólnego dla szkoły ponadgimnazjalnej, innej niż szkoła, do której uczeń uczęszczał przed przyjęciem do tego podmiotu, oraz ramowego planu nauczania szkoły </w:t>
            </w: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>ponadgimnazjalnej zorganizowanej w podmiocie leczniczym, innej niż szkoła, do której uczeń uczęszczał przed przyjęciem do tego podmiotu.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C" w:rsidRPr="00234586" w:rsidRDefault="00E87080" w:rsidP="00251208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color w:val="00B050"/>
                <w:sz w:val="20"/>
                <w:szCs w:val="20"/>
              </w:rPr>
              <w:t>III kwartał</w:t>
            </w:r>
          </w:p>
          <w:p w:rsidR="0070707C" w:rsidRPr="00234586" w:rsidRDefault="00E87080" w:rsidP="00251208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color w:val="00B050"/>
                <w:sz w:val="20"/>
                <w:szCs w:val="20"/>
              </w:rPr>
              <w:t>2019 r.</w:t>
            </w:r>
          </w:p>
          <w:p w:rsidR="0070707C" w:rsidRPr="00234586" w:rsidRDefault="00E87080" w:rsidP="00251208">
            <w:pPr>
              <w:pStyle w:val="Tekstprzypisudolnego"/>
              <w:jc w:val="both"/>
              <w:rPr>
                <w:rFonts w:ascii="Arial Narrow" w:hAnsi="Arial Narrow"/>
                <w:color w:val="00B05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C" w:rsidRPr="00234586" w:rsidRDefault="00E87080" w:rsidP="00A368C9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color w:val="00B050"/>
                <w:sz w:val="20"/>
                <w:szCs w:val="20"/>
              </w:rPr>
              <w:t>Katarzyna Tyczka</w:t>
            </w:r>
          </w:p>
          <w:p w:rsidR="0070707C" w:rsidRPr="00234586" w:rsidRDefault="00E87080" w:rsidP="00251208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color w:val="00B050"/>
                <w:sz w:val="20"/>
                <w:szCs w:val="20"/>
              </w:rPr>
              <w:t>- główny specjalista</w:t>
            </w:r>
          </w:p>
          <w:p w:rsidR="0070707C" w:rsidRDefault="00E87080" w:rsidP="00251208">
            <w:pPr>
              <w:spacing w:before="60" w:after="60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:rsidR="0070707C" w:rsidRPr="00234586" w:rsidRDefault="00E87080" w:rsidP="00251208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b/>
                <w:color w:val="00B050"/>
                <w:sz w:val="20"/>
                <w:szCs w:val="20"/>
              </w:rPr>
              <w:t>Departament</w:t>
            </w:r>
          </w:p>
          <w:p w:rsidR="0070707C" w:rsidRPr="00234586" w:rsidRDefault="00E87080" w:rsidP="00251208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b/>
                <w:color w:val="00B050"/>
                <w:sz w:val="20"/>
                <w:szCs w:val="20"/>
              </w:rPr>
              <w:t>Wychowania</w:t>
            </w:r>
          </w:p>
          <w:p w:rsidR="0070707C" w:rsidRPr="00234586" w:rsidRDefault="00E87080" w:rsidP="00251208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b/>
                <w:color w:val="00B050"/>
                <w:sz w:val="20"/>
                <w:szCs w:val="20"/>
              </w:rPr>
              <w:t>i Kształcenia</w:t>
            </w:r>
          </w:p>
          <w:p w:rsidR="0070707C" w:rsidRPr="00234586" w:rsidRDefault="00E87080" w:rsidP="00251208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b/>
                <w:color w:val="00B050"/>
                <w:sz w:val="20"/>
                <w:szCs w:val="20"/>
              </w:rPr>
              <w:t>Integracyjnego</w:t>
            </w:r>
          </w:p>
        </w:tc>
      </w:tr>
      <w:tr w:rsidR="006F4FD6" w:rsidTr="00251208">
        <w:tc>
          <w:tcPr>
            <w:tcW w:w="630" w:type="dxa"/>
            <w:hideMark/>
          </w:tcPr>
          <w:p w:rsidR="0070707C" w:rsidRPr="0070707C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70707C">
              <w:rPr>
                <w:rFonts w:ascii="Arial Narrow" w:hAnsi="Arial Narrow"/>
                <w:color w:val="00B050"/>
                <w:sz w:val="20"/>
                <w:szCs w:val="20"/>
              </w:rPr>
              <w:t>248.</w:t>
            </w:r>
          </w:p>
        </w:tc>
        <w:tc>
          <w:tcPr>
            <w:tcW w:w="3119" w:type="dxa"/>
            <w:hideMark/>
          </w:tcPr>
          <w:p w:rsidR="0070707C" w:rsidRPr="00A368C9" w:rsidRDefault="00E87080" w:rsidP="00251208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Arial Narrow" w:hAnsi="Arial Narrow"/>
                <w:b w:val="0"/>
                <w:color w:val="00B050"/>
                <w:sz w:val="20"/>
                <w:szCs w:val="20"/>
              </w:rPr>
            </w:pPr>
            <w:r w:rsidRPr="00A368C9">
              <w:rPr>
                <w:rFonts w:ascii="Arial Narrow" w:hAnsi="Arial Narrow"/>
                <w:b w:val="0"/>
                <w:color w:val="00B050"/>
                <w:sz w:val="20"/>
                <w:szCs w:val="20"/>
              </w:rPr>
              <w:t xml:space="preserve">Rozporządzenie Ministra Edukacji Narodowej zmieniające rozporządzenie w sprawie sposobu prowadzenia przez publiczne przedszkola, szkoły </w:t>
            </w:r>
            <w:r>
              <w:rPr>
                <w:rFonts w:ascii="Arial Narrow" w:hAnsi="Arial Narrow"/>
                <w:b w:val="0"/>
                <w:color w:val="00B050"/>
                <w:sz w:val="20"/>
                <w:szCs w:val="20"/>
              </w:rPr>
              <w:br/>
            </w:r>
            <w:r w:rsidRPr="00A368C9">
              <w:rPr>
                <w:rFonts w:ascii="Arial Narrow" w:hAnsi="Arial Narrow"/>
                <w:b w:val="0"/>
                <w:color w:val="00B050"/>
                <w:sz w:val="20"/>
                <w:szCs w:val="20"/>
              </w:rPr>
              <w:t xml:space="preserve">i placówki dokumentacji przebiegu nauczania, działalności wychowawczej </w:t>
            </w:r>
            <w:r>
              <w:rPr>
                <w:rFonts w:ascii="Arial Narrow" w:hAnsi="Arial Narrow"/>
                <w:b w:val="0"/>
                <w:color w:val="00B050"/>
                <w:sz w:val="20"/>
                <w:szCs w:val="20"/>
              </w:rPr>
              <w:br/>
            </w:r>
            <w:r w:rsidRPr="00A368C9">
              <w:rPr>
                <w:rFonts w:ascii="Arial Narrow" w:hAnsi="Arial Narrow"/>
                <w:b w:val="0"/>
                <w:color w:val="00B050"/>
                <w:sz w:val="20"/>
                <w:szCs w:val="20"/>
              </w:rPr>
              <w:t>i opiekuńczej oraz rodzajów tej dokumentacji</w:t>
            </w:r>
            <w:r>
              <w:rPr>
                <w:rFonts w:ascii="Arial Narrow" w:hAnsi="Arial Narrow"/>
                <w:b w:val="0"/>
                <w:color w:val="00B050"/>
                <w:sz w:val="20"/>
                <w:szCs w:val="20"/>
              </w:rPr>
              <w:t>.</w:t>
            </w:r>
          </w:p>
          <w:p w:rsidR="0070707C" w:rsidRPr="0070707C" w:rsidRDefault="00E87080" w:rsidP="00251208">
            <w:pPr>
              <w:spacing w:before="60" w:after="60"/>
              <w:rPr>
                <w:rFonts w:ascii="Arial Narrow" w:hAnsi="Arial Narrow"/>
                <w:color w:val="00B050"/>
              </w:rPr>
            </w:pPr>
          </w:p>
        </w:tc>
        <w:tc>
          <w:tcPr>
            <w:tcW w:w="4579" w:type="dxa"/>
            <w:hideMark/>
          </w:tcPr>
          <w:p w:rsidR="0070707C" w:rsidRPr="00A368C9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W związku z procedowanym projektem rozporządzenia zmieniającego rozporządzenie Ministra Edukacji Narodowej z dnia 25 sierpnia 2017 r. w sprawie sposobu prowadzenia przez publiczne przedszkola, szkoły i placówki dokumentacji przebiegu nauczania, działalnośc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i wychowawczej i opiekuńczej oraz rodzajów tej dokumentacji (Dz. U. poz. 1646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)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 - wykonanie upoważnienia 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zawartego w art. 47 ust. 1 pkt 7 ustawy z dnia 14 grudnia 2016 r. – Prawo oświatowe, dla zachowania spójności przepisów prawa oświatowego w zakresie prowadzenia przedmiotowej dokumentacji zarówno w oddziałach szkół nowego typu, jak i jeszcze funkcjonującyc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h oddziałach szkół starego typu, należy znowelizować również rozporządzenie Ministra Edukacji Narodowej z dnia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29 sierpnia 2014 r. w sprawie sposobu prowadzenia przez publiczne przedszkola, szkoły i placówki dokumentacji przebiegu nauczania, działalności 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wychowawczej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i opiekuńczej oraz rodzajów tej dokumentacji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(Dz. U. poz. 1170, z późn. zm.), które stanowi wykonanie upoważnienia zawartego w art. 22 ust. 2 pkt 5 ustawy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z dnia 7 września 1991 r. o systemie oświaty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(Dz. U. z 2018 r. poz. 1457, z późn. zm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.) w związku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z</w:t>
            </w:r>
            <w:r w:rsidRPr="00A368C9">
              <w:rPr>
                <w:rFonts w:ascii="Arial Narrow" w:hAnsi="Arial Narrow"/>
                <w:color w:val="00B050"/>
              </w:rPr>
              <w:t xml:space="preserve"> 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art. 363 ustawy z dnia 14 grudnia 2016 r. Przepisy wprowadzające ustawę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–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 Prawo oświatowe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br/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(Dz. U. z 2017 r. poz. 60, z późn. zm.).</w:t>
            </w:r>
          </w:p>
          <w:p w:rsidR="0070707C" w:rsidRPr="00A368C9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:rsidR="0070707C" w:rsidRPr="00A368C9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:rsidR="0070707C" w:rsidRPr="00A368C9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4539" w:type="dxa"/>
            <w:hideMark/>
          </w:tcPr>
          <w:p w:rsidR="0070707C" w:rsidRPr="00A368C9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Nowelizacja rozporządzenia z dnia 29 sierpnia 2014 r. ma na celu dostosowanie jego treści do obecnego sta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nu prawnego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poprzez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:</w:t>
            </w:r>
          </w:p>
          <w:p w:rsidR="0070707C" w:rsidRPr="00A368C9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- usunięcie przepisów dotyczących szkół starego typu, które zakończyły już działalność,</w:t>
            </w:r>
          </w:p>
          <w:p w:rsidR="0070707C" w:rsidRPr="00A368C9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- powtórzenie rozwiązań w z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akresie prowadzenia dzienników,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 w tym elektronicznych – opisanych w rozporządzeniu (oraz w procedowanej obecnie noweliza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cji)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,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 wydanych na podstawie upoważnienia zawartego w art. 47 ust. 1 pkt 7 ustawy z dnia 14 grudnia 2016 r. – Prawo oświatowe, dotyczących udoskonalenia przepisów w zakresie prowadzenia dzienników elektronicznych (wymóg importu dokumentu elektronicznego zap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isanego w formacie XML - aby była możliwa wymiana danych pomiędzy takimi systemami, każdy z tych systemów powinien zapewniać możliwość zarówno eksportu, jak i importu danych zapisanych w takim formacie), </w:t>
            </w:r>
          </w:p>
          <w:p w:rsidR="00B24D77" w:rsidRPr="00A368C9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- uwzględnienie standardów WCAG 2.0 (Web Content Ac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cessibility </w:t>
            </w:r>
            <w:proofErr w:type="spellStart"/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Guidelines</w:t>
            </w:r>
            <w:proofErr w:type="spellEnd"/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), co najmniej na poziomie AA, w zakresie </w:t>
            </w:r>
            <w:r w:rsidRPr="00B24D77">
              <w:rPr>
                <w:rFonts w:ascii="Arial Narrow" w:hAnsi="Arial Narrow"/>
                <w:color w:val="00B050"/>
                <w:sz w:val="20"/>
                <w:szCs w:val="20"/>
              </w:rPr>
              <w:t xml:space="preserve">dostępu do informacji,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o których mowa w rozporządzeniu,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  </w:t>
            </w:r>
          </w:p>
          <w:p w:rsidR="0070707C" w:rsidRPr="00A368C9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- wymóg opatrzenia dziennika zapisanego w formie dokumentu elektronicznego kwalifikowanym podpisem elektronicznym albo (dodatkowo wzgl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ędem stanu obecnego) kwalif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ikowaną pieczęcią elektroniczną; u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możliwienie również wykorzystania podpisu osobistego, gdyż stanowi on „zaawansowany podpis elektroniczny” 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>w rozumieniu art. 3 pkt 11 rozporządzenia Parlamentu Europejskiego i Rady (UE) nr 910/201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4 z dnia 23 lipca 2014 r., </w:t>
            </w:r>
          </w:p>
          <w:p w:rsidR="0070707C" w:rsidRPr="00A368C9" w:rsidRDefault="00E87080" w:rsidP="00251208">
            <w:pPr>
              <w:pStyle w:val="ARTartustawynprozporzdzenia"/>
              <w:spacing w:before="60" w:after="60" w:line="240" w:lineRule="auto"/>
              <w:ind w:firstLine="0"/>
              <w:jc w:val="left"/>
              <w:rPr>
                <w:rFonts w:ascii="Arial Narrow" w:hAnsi="Arial Narrow"/>
                <w:color w:val="00B050"/>
                <w:sz w:val="20"/>
              </w:rPr>
            </w:pPr>
            <w:r w:rsidRPr="00A368C9">
              <w:rPr>
                <w:rFonts w:ascii="Arial Narrow" w:hAnsi="Arial Narrow"/>
                <w:color w:val="00B050"/>
                <w:sz w:val="20"/>
              </w:rPr>
              <w:t>- wprowadzenie treści dotyczących rozstrzygnięć o klasyfikowaniu i promowaniu podejmowanych przez dyrektora szkoły, jako możliwej podstawy wpisu o klasyfikowaniu, promowaniu lub ukończeniu prz</w:t>
            </w:r>
            <w:r>
              <w:rPr>
                <w:rFonts w:ascii="Arial Narrow" w:hAnsi="Arial Narrow"/>
                <w:color w:val="00B050"/>
                <w:sz w:val="20"/>
              </w:rPr>
              <w:t>ez ucznia albo słuchacza szkoły; r</w:t>
            </w:r>
            <w:r w:rsidRPr="00A368C9">
              <w:rPr>
                <w:rFonts w:ascii="Arial Narrow" w:hAnsi="Arial Narrow"/>
                <w:color w:val="00B050"/>
                <w:sz w:val="20"/>
              </w:rPr>
              <w:t>ozstrzygnięcia te stanowią w konsekwencji dokumentację przebiegu nauczania,</w:t>
            </w:r>
          </w:p>
          <w:p w:rsidR="0070707C" w:rsidRPr="00A368C9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- rezygnację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 z możliwości wypełniania arkuszy ocen uczniów i słuchaczy pismem maszynowym, </w:t>
            </w:r>
          </w:p>
          <w:p w:rsidR="0070707C" w:rsidRPr="00A368C9" w:rsidRDefault="00E87080" w:rsidP="00251208">
            <w:pPr>
              <w:spacing w:before="60" w:after="60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>- umożliwienie prowadzenia przez szkoły księgi uczniów i księgi słuchaczy także w postaci</w:t>
            </w:r>
            <w:r w:rsidRPr="00A368C9">
              <w:rPr>
                <w:rFonts w:ascii="Arial Narrow" w:hAnsi="Arial Narrow"/>
                <w:color w:val="00B050"/>
                <w:sz w:val="20"/>
                <w:szCs w:val="20"/>
              </w:rPr>
              <w:t xml:space="preserve"> elektronicznej.</w:t>
            </w:r>
          </w:p>
        </w:tc>
        <w:tc>
          <w:tcPr>
            <w:tcW w:w="1231" w:type="dxa"/>
            <w:hideMark/>
          </w:tcPr>
          <w:p w:rsidR="0070707C" w:rsidRPr="00234586" w:rsidRDefault="00E87080" w:rsidP="00251208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color w:val="00B050"/>
                <w:sz w:val="20"/>
                <w:szCs w:val="20"/>
              </w:rPr>
              <w:lastRenderedPageBreak/>
              <w:t xml:space="preserve">III kwartał </w:t>
            </w:r>
          </w:p>
          <w:p w:rsidR="0070707C" w:rsidRPr="00234586" w:rsidRDefault="00E87080" w:rsidP="00251208">
            <w:pPr>
              <w:spacing w:before="60" w:after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color w:val="00B050"/>
                <w:sz w:val="20"/>
                <w:szCs w:val="20"/>
              </w:rPr>
              <w:t>2019 r</w:t>
            </w:r>
          </w:p>
        </w:tc>
        <w:tc>
          <w:tcPr>
            <w:tcW w:w="1745" w:type="dxa"/>
            <w:shd w:val="clear" w:color="auto" w:fill="auto"/>
          </w:tcPr>
          <w:p w:rsidR="0070707C" w:rsidRPr="00234586" w:rsidRDefault="00E87080" w:rsidP="00251208">
            <w:pPr>
              <w:spacing w:before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color w:val="00B050"/>
                <w:sz w:val="20"/>
                <w:szCs w:val="20"/>
              </w:rPr>
              <w:t xml:space="preserve">Emilia Różycka </w:t>
            </w:r>
          </w:p>
          <w:p w:rsidR="0070707C" w:rsidRPr="00234586" w:rsidRDefault="00E87080" w:rsidP="00251208">
            <w:pPr>
              <w:spacing w:before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 xml:space="preserve">- </w:t>
            </w:r>
            <w:r w:rsidRPr="00234586">
              <w:rPr>
                <w:rFonts w:ascii="Arial Narrow" w:hAnsi="Arial Narrow"/>
                <w:color w:val="00B050"/>
                <w:sz w:val="20"/>
                <w:szCs w:val="20"/>
              </w:rPr>
              <w:t>naczelnik wydziału</w:t>
            </w:r>
          </w:p>
          <w:p w:rsidR="0070707C" w:rsidRPr="00234586" w:rsidRDefault="00E87080" w:rsidP="00251208">
            <w:pPr>
              <w:spacing w:before="60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:rsidR="0070707C" w:rsidRPr="00234586" w:rsidRDefault="00E87080" w:rsidP="00251208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34586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Departament Podręczników, Programów </w:t>
            </w: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br/>
            </w:r>
            <w:r w:rsidRPr="00234586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i Innowacji </w:t>
            </w:r>
          </w:p>
          <w:p w:rsidR="0070707C" w:rsidRPr="00234586" w:rsidRDefault="00E87080" w:rsidP="00251208">
            <w:pPr>
              <w:spacing w:before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:rsidR="0070707C" w:rsidRPr="00234586" w:rsidRDefault="00E87080" w:rsidP="00251208">
            <w:pPr>
              <w:spacing w:before="60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</w:tr>
    </w:tbl>
    <w:p w:rsidR="0070707C" w:rsidRDefault="00E87080" w:rsidP="0070707C">
      <w:pPr>
        <w:pStyle w:val="menfont"/>
      </w:pPr>
    </w:p>
    <w:p w:rsidR="0070707C" w:rsidRDefault="00E87080">
      <w:pPr>
        <w:pStyle w:val="menfont"/>
      </w:pPr>
    </w:p>
    <w:p w:rsidR="0070707C" w:rsidRDefault="00E87080">
      <w:pPr>
        <w:pStyle w:val="menfont"/>
      </w:pPr>
    </w:p>
    <w:p w:rsidR="0070707C" w:rsidRDefault="00E87080">
      <w:pPr>
        <w:pStyle w:val="menfont"/>
      </w:pPr>
    </w:p>
    <w:sectPr w:rsidR="0070707C" w:rsidSect="004521E1">
      <w:headerReference w:type="first" r:id="rId8"/>
      <w:pgSz w:w="16838" w:h="11906" w:orient="landscape"/>
      <w:pgMar w:top="238" w:right="1701" w:bottom="24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80" w:rsidRDefault="00E87080">
      <w:r>
        <w:separator/>
      </w:r>
    </w:p>
  </w:endnote>
  <w:endnote w:type="continuationSeparator" w:id="0">
    <w:p w:rsidR="00E87080" w:rsidRDefault="00E8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80" w:rsidRDefault="00E87080">
      <w:r>
        <w:separator/>
      </w:r>
    </w:p>
  </w:footnote>
  <w:footnote w:type="continuationSeparator" w:id="0">
    <w:p w:rsidR="00E87080" w:rsidRDefault="00E8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Pr="004521E1" w:rsidRDefault="00E87080" w:rsidP="004521E1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A6D72"/>
    <w:multiLevelType w:val="hybridMultilevel"/>
    <w:tmpl w:val="499E8418"/>
    <w:lvl w:ilvl="0" w:tplc="D7C4FA84">
      <w:start w:val="1"/>
      <w:numFmt w:val="decimal"/>
      <w:lvlText w:val="%1)"/>
      <w:lvlJc w:val="left"/>
      <w:pPr>
        <w:ind w:left="360" w:hanging="360"/>
      </w:pPr>
    </w:lvl>
    <w:lvl w:ilvl="1" w:tplc="579422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320FABC" w:tentative="1">
      <w:start w:val="1"/>
      <w:numFmt w:val="lowerRoman"/>
      <w:lvlText w:val="%3."/>
      <w:lvlJc w:val="right"/>
      <w:pPr>
        <w:ind w:left="1800" w:hanging="180"/>
      </w:pPr>
    </w:lvl>
    <w:lvl w:ilvl="3" w:tplc="A1EEC182" w:tentative="1">
      <w:start w:val="1"/>
      <w:numFmt w:val="decimal"/>
      <w:lvlText w:val="%4."/>
      <w:lvlJc w:val="left"/>
      <w:pPr>
        <w:ind w:left="2520" w:hanging="360"/>
      </w:pPr>
    </w:lvl>
    <w:lvl w:ilvl="4" w:tplc="0A909A6C" w:tentative="1">
      <w:start w:val="1"/>
      <w:numFmt w:val="lowerLetter"/>
      <w:lvlText w:val="%5."/>
      <w:lvlJc w:val="left"/>
      <w:pPr>
        <w:ind w:left="3240" w:hanging="360"/>
      </w:pPr>
    </w:lvl>
    <w:lvl w:ilvl="5" w:tplc="93186650" w:tentative="1">
      <w:start w:val="1"/>
      <w:numFmt w:val="lowerRoman"/>
      <w:lvlText w:val="%6."/>
      <w:lvlJc w:val="right"/>
      <w:pPr>
        <w:ind w:left="3960" w:hanging="180"/>
      </w:pPr>
    </w:lvl>
    <w:lvl w:ilvl="6" w:tplc="7B607232" w:tentative="1">
      <w:start w:val="1"/>
      <w:numFmt w:val="decimal"/>
      <w:lvlText w:val="%7."/>
      <w:lvlJc w:val="left"/>
      <w:pPr>
        <w:ind w:left="4680" w:hanging="360"/>
      </w:pPr>
    </w:lvl>
    <w:lvl w:ilvl="7" w:tplc="896ED114" w:tentative="1">
      <w:start w:val="1"/>
      <w:numFmt w:val="lowerLetter"/>
      <w:lvlText w:val="%8."/>
      <w:lvlJc w:val="left"/>
      <w:pPr>
        <w:ind w:left="5400" w:hanging="360"/>
      </w:pPr>
    </w:lvl>
    <w:lvl w:ilvl="8" w:tplc="6DF012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750D7"/>
    <w:multiLevelType w:val="hybridMultilevel"/>
    <w:tmpl w:val="FC90B3FA"/>
    <w:lvl w:ilvl="0" w:tplc="C906A228">
      <w:start w:val="1"/>
      <w:numFmt w:val="lowerLetter"/>
      <w:lvlText w:val="%1)"/>
      <w:lvlJc w:val="left"/>
      <w:pPr>
        <w:ind w:left="896" w:hanging="360"/>
      </w:pPr>
    </w:lvl>
    <w:lvl w:ilvl="1" w:tplc="49C441BA">
      <w:start w:val="1"/>
      <w:numFmt w:val="lowerLetter"/>
      <w:lvlText w:val="%2)"/>
      <w:lvlJc w:val="left"/>
      <w:pPr>
        <w:ind w:left="786" w:hanging="360"/>
      </w:pPr>
    </w:lvl>
    <w:lvl w:ilvl="2" w:tplc="DC485054" w:tentative="1">
      <w:start w:val="1"/>
      <w:numFmt w:val="lowerRoman"/>
      <w:lvlText w:val="%3."/>
      <w:lvlJc w:val="right"/>
      <w:pPr>
        <w:ind w:left="2336" w:hanging="180"/>
      </w:pPr>
    </w:lvl>
    <w:lvl w:ilvl="3" w:tplc="F65CD15C" w:tentative="1">
      <w:start w:val="1"/>
      <w:numFmt w:val="decimal"/>
      <w:lvlText w:val="%4."/>
      <w:lvlJc w:val="left"/>
      <w:pPr>
        <w:ind w:left="3056" w:hanging="360"/>
      </w:pPr>
    </w:lvl>
    <w:lvl w:ilvl="4" w:tplc="4118CBEC" w:tentative="1">
      <w:start w:val="1"/>
      <w:numFmt w:val="lowerLetter"/>
      <w:lvlText w:val="%5."/>
      <w:lvlJc w:val="left"/>
      <w:pPr>
        <w:ind w:left="3776" w:hanging="360"/>
      </w:pPr>
    </w:lvl>
    <w:lvl w:ilvl="5" w:tplc="C9DED380" w:tentative="1">
      <w:start w:val="1"/>
      <w:numFmt w:val="lowerRoman"/>
      <w:lvlText w:val="%6."/>
      <w:lvlJc w:val="right"/>
      <w:pPr>
        <w:ind w:left="4496" w:hanging="180"/>
      </w:pPr>
    </w:lvl>
    <w:lvl w:ilvl="6" w:tplc="68BED4EC" w:tentative="1">
      <w:start w:val="1"/>
      <w:numFmt w:val="decimal"/>
      <w:lvlText w:val="%7."/>
      <w:lvlJc w:val="left"/>
      <w:pPr>
        <w:ind w:left="5216" w:hanging="360"/>
      </w:pPr>
    </w:lvl>
    <w:lvl w:ilvl="7" w:tplc="193A24A0" w:tentative="1">
      <w:start w:val="1"/>
      <w:numFmt w:val="lowerLetter"/>
      <w:lvlText w:val="%8."/>
      <w:lvlJc w:val="left"/>
      <w:pPr>
        <w:ind w:left="5936" w:hanging="360"/>
      </w:pPr>
    </w:lvl>
    <w:lvl w:ilvl="8" w:tplc="9258E530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6"/>
    <w:rsid w:val="004521E1"/>
    <w:rsid w:val="00464904"/>
    <w:rsid w:val="006F4FD6"/>
    <w:rsid w:val="00E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70707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070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07C"/>
    <w:rPr>
      <w:rFonts w:ascii="Arial" w:hAnsi="Arial" w:cs="Aria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70707C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0707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0707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0707C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578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78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783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7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7837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578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57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C8E6-F605-42D4-A7B0-EBD72115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2019-07-19T07:41:00Z</dcterms:created>
  <dcterms:modified xsi:type="dcterms:W3CDTF">2019-07-19T07:47:00Z</dcterms:modified>
</cp:coreProperties>
</file>